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0" w:type="auto"/>
        <w:tblLook w:val="04A0" w:firstRow="1" w:lastRow="0" w:firstColumn="1" w:lastColumn="0" w:noHBand="0" w:noVBand="1"/>
      </w:tblPr>
      <w:tblGrid>
        <w:gridCol w:w="9232"/>
      </w:tblGrid>
      <w:tr w:rsidR="006C0AE7" w14:paraId="1193FFE2" w14:textId="77777777">
        <w:tc>
          <w:tcPr>
            <w:tcW w:w="9232" w:type="dxa"/>
          </w:tcPr>
          <w:p w14:paraId="09774135" w14:textId="77777777" w:rsidR="006C0AE7" w:rsidRDefault="00012C2D">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本テンプレートは、臨床研究法施行規則</w:t>
            </w:r>
            <w:r>
              <w:rPr>
                <w:rFonts w:ascii="ＭＳ Ｐゴシック" w:eastAsia="ＭＳ Ｐゴシック" w:hAnsi="ＭＳ Ｐゴシック" w:hint="eastAsia"/>
                <w:color w:val="FF0000"/>
                <w:sz w:val="20"/>
                <w:szCs w:val="21"/>
              </w:rPr>
              <w:t>（平成30年厚生労働省令第17号）第24条</w:t>
            </w:r>
            <w:r>
              <w:rPr>
                <w:rFonts w:ascii="ＭＳ Ｐゴシック" w:eastAsia="ＭＳ Ｐゴシック" w:hAnsi="ＭＳ Ｐゴシック" w:hint="eastAsia"/>
                <w:color w:val="FF0000"/>
                <w:sz w:val="18"/>
              </w:rPr>
              <w:t>、</w:t>
            </w:r>
            <w:r>
              <w:rPr>
                <w:rFonts w:ascii="ＭＳ Ｐゴシック" w:eastAsia="ＭＳ Ｐゴシック" w:hAnsi="ＭＳ Ｐゴシック" w:hint="eastAsia"/>
                <w:color w:val="FF0000"/>
                <w:sz w:val="20"/>
              </w:rPr>
              <w:t>局長通知（医政発0228第10号（2.（1）⑥（iii））、課長通知（医政経発0228第1号（24）～（28））、「別紙様式１（終了届出書（総括報告書の概要）」に基づいて作成している。</w:t>
            </w:r>
          </w:p>
          <w:p w14:paraId="3F0D36A4" w14:textId="129C2E1E" w:rsidR="006C0AE7" w:rsidRDefault="00012C2D">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主要評価項目報告書では、</w:t>
            </w:r>
            <w:r w:rsidR="00F827FE">
              <w:rPr>
                <w:rFonts w:ascii="ＭＳ Ｐゴシック" w:eastAsia="ＭＳ Ｐゴシック" w:hAnsi="ＭＳ Ｐゴシック"/>
                <w:color w:val="FF0000"/>
                <w:sz w:val="20"/>
              </w:rPr>
              <w:t>総括報告書概要のうち、以下の</w:t>
            </w:r>
            <w:r>
              <w:rPr>
                <w:rFonts w:ascii="ＭＳ Ｐゴシック" w:eastAsia="ＭＳ Ｐゴシック" w:hAnsi="ＭＳ Ｐゴシック"/>
                <w:color w:val="FF0000"/>
                <w:sz w:val="20"/>
              </w:rPr>
              <w:t>箇所を記載する</w:t>
            </w:r>
          </w:p>
          <w:p w14:paraId="78F607BE" w14:textId="77777777" w:rsidR="006C0AE7" w:rsidRDefault="00012C2D">
            <w:pPr>
              <w:pStyle w:val="af8"/>
              <w:ind w:leftChars="0" w:left="420"/>
              <w:jc w:val="left"/>
              <w:rPr>
                <w:rFonts w:asciiTheme="majorEastAsia" w:eastAsiaTheme="majorEastAsia" w:hAnsiTheme="majorEastAsia"/>
                <w:sz w:val="18"/>
                <w:szCs w:val="18"/>
              </w:rPr>
            </w:pPr>
            <w:r>
              <w:rPr>
                <w:rFonts w:asciiTheme="majorEastAsia" w:eastAsiaTheme="majorEastAsia" w:hAnsiTheme="majorEastAsia" w:hint="eastAsia"/>
                <w:color w:val="FF0000"/>
                <w:sz w:val="20"/>
                <w:szCs w:val="18"/>
              </w:rPr>
              <w:t>「主要評価項目及び副次評価項目のデータ解析及び結果」、「簡潔な要約」</w:t>
            </w:r>
          </w:p>
        </w:tc>
      </w:tr>
    </w:tbl>
    <w:p w14:paraId="377F92A0" w14:textId="77777777" w:rsidR="006C0AE7" w:rsidRDefault="00012C2D">
      <w:pPr>
        <w:pStyle w:val="afb"/>
      </w:pPr>
      <w:r>
        <w:rPr>
          <w:rFonts w:hint="eastAsia"/>
        </w:rPr>
        <w:t>主要評価項目報告書</w:t>
      </w:r>
    </w:p>
    <w:p w14:paraId="70CD40E6" w14:textId="67741F4D" w:rsidR="00BE1D77" w:rsidRDefault="00BE1D77" w:rsidP="00BE1D77">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sidRPr="00011822">
        <w:rPr>
          <w:rFonts w:ascii="ＭＳ Ｐゴシック" w:eastAsia="ＭＳ Ｐゴシック" w:hAnsi="ＭＳ Ｐゴシック" w:cstheme="majorBidi" w:hint="eastAsia"/>
          <w:sz w:val="24"/>
        </w:rPr>
        <w:t>年</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月</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日</w:t>
      </w:r>
    </w:p>
    <w:p w14:paraId="3428DEDD" w14:textId="463225C8" w:rsidR="006C0AE7" w:rsidRDefault="006C0AE7">
      <w:pPr>
        <w:autoSpaceDE w:val="0"/>
        <w:autoSpaceDN w:val="0"/>
        <w:adjustRightInd w:val="0"/>
        <w:jc w:val="center"/>
        <w:rPr>
          <w:rFonts w:asciiTheme="majorEastAsia" w:eastAsiaTheme="majorEastAsia" w:hAnsiTheme="majorEastAsia"/>
          <w:sz w:val="18"/>
          <w:szCs w:val="18"/>
        </w:rPr>
      </w:pPr>
    </w:p>
    <w:p w14:paraId="1EFA9CDA" w14:textId="77777777" w:rsidR="006C0AE7" w:rsidRDefault="00012C2D">
      <w:pPr>
        <w:pStyle w:val="af9"/>
        <w:jc w:val="left"/>
      </w:pPr>
      <w:r>
        <w:t>JCOGXXXX</w:t>
      </w:r>
      <w:r>
        <w:t>：「</w:t>
      </w:r>
      <w:r w:rsidRPr="006E23FA">
        <w:rPr>
          <w:rFonts w:ascii="ＭＳ Ｐゴシック" w:eastAsia="ＭＳ Ｐゴシック" w:hAnsi="ＭＳ Ｐゴシック" w:hint="eastAsia"/>
        </w:rPr>
        <w:t>試験の正式名称を記載</w:t>
      </w:r>
      <w:r>
        <w:t>」</w:t>
      </w:r>
    </w:p>
    <w:p w14:paraId="768B4BDB" w14:textId="3CC39DE9" w:rsidR="006C0AE7" w:rsidRDefault="00DB0278">
      <w:pPr>
        <w:rPr>
          <w:rFonts w:ascii="ＭＳ Ｐゴシック" w:eastAsia="ＭＳ Ｐゴシック" w:hAnsi="ＭＳ Ｐゴシック"/>
          <w:sz w:val="20"/>
        </w:rPr>
      </w:pPr>
      <w:r>
        <w:rPr>
          <w:rFonts w:ascii="ＭＳ Ｐゴシック" w:eastAsia="ＭＳ Ｐゴシック" w:hAnsi="ＭＳ Ｐゴシック"/>
          <w:sz w:val="20"/>
        </w:rPr>
        <w:t>研究代表者</w:t>
      </w:r>
      <w:r w:rsidR="00012C2D">
        <w:rPr>
          <w:rFonts w:ascii="ＭＳ Ｐゴシック" w:eastAsia="ＭＳ Ｐゴシック" w:hAnsi="ＭＳ Ｐゴシック"/>
          <w:sz w:val="20"/>
        </w:rPr>
        <w:t>（</w:t>
      </w:r>
      <w:r>
        <w:rPr>
          <w:rFonts w:ascii="ＭＳ Ｐゴシック" w:eastAsia="ＭＳ Ｐゴシック" w:hAnsi="ＭＳ Ｐゴシック"/>
          <w:sz w:val="20"/>
        </w:rPr>
        <w:t>研究代表医師</w:t>
      </w:r>
      <w:r w:rsidR="00012C2D">
        <w:rPr>
          <w:rFonts w:ascii="ＭＳ Ｐゴシック" w:eastAsia="ＭＳ Ｐゴシック" w:hAnsi="ＭＳ Ｐゴシック"/>
          <w:sz w:val="20"/>
        </w:rPr>
        <w:t>）</w:t>
      </w:r>
      <w:r w:rsidR="00012C2D">
        <w:rPr>
          <w:rFonts w:ascii="ＭＳ Ｐゴシック" w:eastAsia="ＭＳ Ｐゴシック" w:hAnsi="ＭＳ Ｐゴシック"/>
          <w:sz w:val="20"/>
        </w:rPr>
        <w:tab/>
        <w:t>氏名</w:t>
      </w:r>
      <w:r w:rsidR="00012C2D">
        <w:rPr>
          <w:rFonts w:ascii="ＭＳ Ｐゴシック" w:eastAsia="ＭＳ Ｐゴシック" w:hAnsi="ＭＳ Ｐゴシック"/>
          <w:sz w:val="20"/>
        </w:rPr>
        <w:tab/>
        <w:t>所属</w:t>
      </w:r>
    </w:p>
    <w:p w14:paraId="67E0ECBB" w14:textId="3AE69E19" w:rsidR="00012C2D" w:rsidRDefault="00012C2D">
      <w:pPr>
        <w:rPr>
          <w:rFonts w:ascii="ＭＳ Ｐゴシック" w:eastAsia="ＭＳ Ｐゴシック" w:hAnsi="ＭＳ Ｐゴシック"/>
          <w:sz w:val="20"/>
        </w:rPr>
      </w:pPr>
      <w:r>
        <w:rPr>
          <w:rFonts w:ascii="ＭＳ Ｐゴシック" w:eastAsia="ＭＳ Ｐゴシック" w:hAnsi="ＭＳ Ｐゴシック"/>
          <w:sz w:val="20"/>
        </w:rPr>
        <w:t>研究事務局</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58E9FEC7" w14:textId="77777777" w:rsidR="006C0AE7" w:rsidRDefault="00012C2D">
      <w:pPr>
        <w:rPr>
          <w:rFonts w:ascii="ＭＳ Ｐゴシック" w:eastAsia="ＭＳ Ｐゴシック" w:hAnsi="ＭＳ Ｐゴシック"/>
          <w:sz w:val="20"/>
        </w:rPr>
      </w:pPr>
      <w:r>
        <w:rPr>
          <w:rFonts w:ascii="ＭＳ Ｐゴシック" w:eastAsia="ＭＳ Ｐゴシック" w:hAnsi="ＭＳ Ｐゴシック"/>
          <w:sz w:val="20"/>
        </w:rPr>
        <w:t>グループ代表者</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23DFF9A0" w14:textId="77777777" w:rsidR="006C0AE7" w:rsidRDefault="006C0AE7">
      <w:pPr>
        <w:autoSpaceDE w:val="0"/>
        <w:autoSpaceDN w:val="0"/>
        <w:adjustRightInd w:val="0"/>
        <w:jc w:val="center"/>
        <w:rPr>
          <w:rFonts w:asciiTheme="majorEastAsia" w:eastAsiaTheme="majorEastAsia" w:hAnsiTheme="majorEastAsia"/>
          <w:sz w:val="18"/>
          <w:szCs w:val="18"/>
        </w:rPr>
      </w:pPr>
    </w:p>
    <w:p w14:paraId="62784717" w14:textId="7CA42E42" w:rsidR="006C0AE7" w:rsidRDefault="00012C2D">
      <w:pPr>
        <w:pStyle w:val="1"/>
        <w:rPr>
          <w:rFonts w:asciiTheme="majorHAnsi" w:hAnsiTheme="majorHAnsi" w:cstheme="majorHAnsi"/>
        </w:rPr>
      </w:pPr>
      <w:r>
        <w:rPr>
          <w:rFonts w:asciiTheme="majorHAnsi" w:hAnsiTheme="majorHAnsi" w:cstheme="majorHAnsi"/>
        </w:rPr>
        <w:t>1</w:t>
      </w:r>
      <w:r w:rsidR="00DB0278">
        <w:rPr>
          <w:rFonts w:asciiTheme="majorHAnsi" w:hAnsiTheme="majorHAnsi" w:cstheme="majorHAnsi"/>
        </w:rPr>
        <w:t xml:space="preserve">. </w:t>
      </w:r>
      <w:r>
        <w:rPr>
          <w:rFonts w:asciiTheme="majorHAnsi" w:hAnsiTheme="majorHAnsi" w:cstheme="majorHAnsi"/>
        </w:rPr>
        <w:t>臨床研究の名称等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23"/>
        <w:gridCol w:w="5244"/>
      </w:tblGrid>
      <w:tr w:rsidR="00DB0278" w:rsidRPr="009F0A98" w14:paraId="068E3934" w14:textId="77777777" w:rsidTr="00360642">
        <w:tc>
          <w:tcPr>
            <w:tcW w:w="3823" w:type="dxa"/>
            <w:shd w:val="clear" w:color="auto" w:fill="FFFFFF" w:themeFill="background1"/>
            <w:vAlign w:val="center"/>
          </w:tcPr>
          <w:p w14:paraId="3B4C20A3"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000000" w:themeColor="text1"/>
                <w:sz w:val="20"/>
                <w:szCs w:val="18"/>
              </w:rPr>
              <w:t>実施計画の実施計画番号</w:t>
            </w:r>
          </w:p>
          <w:p w14:paraId="728CDA8A"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FF0000"/>
                <w:sz w:val="20"/>
                <w:szCs w:val="18"/>
              </w:rPr>
              <w:t>（臨床研究法に従う試験のみ）</w:t>
            </w:r>
          </w:p>
        </w:tc>
        <w:tc>
          <w:tcPr>
            <w:tcW w:w="5244" w:type="dxa"/>
            <w:shd w:val="clear" w:color="auto" w:fill="FFFFFF" w:themeFill="background1"/>
          </w:tcPr>
          <w:p w14:paraId="20A8CB5C"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bookmarkStart w:id="0" w:name="_GoBack"/>
            <w:bookmarkEnd w:id="0"/>
          </w:p>
        </w:tc>
      </w:tr>
      <w:tr w:rsidR="00DB0278" w:rsidRPr="009F0A98" w14:paraId="4596CFCB" w14:textId="77777777" w:rsidTr="00360642">
        <w:tc>
          <w:tcPr>
            <w:tcW w:w="3823" w:type="dxa"/>
            <w:shd w:val="clear" w:color="auto" w:fill="FFFFFF" w:themeFill="background1"/>
            <w:vAlign w:val="center"/>
          </w:tcPr>
          <w:p w14:paraId="19353CE3"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000000" w:themeColor="text1"/>
                <w:sz w:val="20"/>
                <w:szCs w:val="18"/>
              </w:rPr>
              <w:t>研究名称</w:t>
            </w:r>
          </w:p>
        </w:tc>
        <w:tc>
          <w:tcPr>
            <w:tcW w:w="5244" w:type="dxa"/>
            <w:shd w:val="clear" w:color="auto" w:fill="FFFFFF" w:themeFill="background1"/>
          </w:tcPr>
          <w:p w14:paraId="2A6D7E66"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p>
        </w:tc>
      </w:tr>
      <w:tr w:rsidR="00DB0278" w:rsidRPr="009F0A98" w14:paraId="77F4BC25" w14:textId="77777777" w:rsidTr="00360642">
        <w:tc>
          <w:tcPr>
            <w:tcW w:w="3823" w:type="dxa"/>
            <w:shd w:val="clear" w:color="auto" w:fill="FFFFFF" w:themeFill="background1"/>
            <w:vAlign w:val="center"/>
          </w:tcPr>
          <w:p w14:paraId="4B1C4A11" w14:textId="77777777" w:rsidR="000F4196"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000000" w:themeColor="text1"/>
                <w:sz w:val="20"/>
                <w:szCs w:val="18"/>
              </w:rPr>
              <w:t>平易な研究名称</w:t>
            </w:r>
          </w:p>
          <w:p w14:paraId="45AE7630" w14:textId="1EEED2DE"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FF0000"/>
                <w:sz w:val="20"/>
                <w:szCs w:val="18"/>
              </w:rPr>
              <w:t>（臨床研究法に従う試験のみ）</w:t>
            </w:r>
          </w:p>
        </w:tc>
        <w:tc>
          <w:tcPr>
            <w:tcW w:w="5244" w:type="dxa"/>
            <w:shd w:val="clear" w:color="auto" w:fill="FFFFFF" w:themeFill="background1"/>
          </w:tcPr>
          <w:p w14:paraId="50F8E84D"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p>
        </w:tc>
      </w:tr>
      <w:tr w:rsidR="00DB0278" w:rsidRPr="009F0A98" w14:paraId="072CC0F5" w14:textId="77777777" w:rsidTr="00360642">
        <w:tc>
          <w:tcPr>
            <w:tcW w:w="3823" w:type="dxa"/>
            <w:shd w:val="clear" w:color="auto" w:fill="FFFFFF" w:themeFill="background1"/>
            <w:vAlign w:val="center"/>
          </w:tcPr>
          <w:p w14:paraId="02E2C00C" w14:textId="77777777" w:rsidR="00DB0278" w:rsidRPr="009F0A98" w:rsidRDefault="00DB0278" w:rsidP="00360642">
            <w:pPr>
              <w:autoSpaceDE w:val="0"/>
              <w:autoSpaceDN w:val="0"/>
              <w:adjustRightInd w:val="0"/>
              <w:rPr>
                <w:rFonts w:ascii="ＭＳ Ｐゴシック" w:eastAsia="ＭＳ Ｐゴシック" w:hAnsi="ＭＳ Ｐゴシック"/>
                <w:sz w:val="20"/>
                <w:szCs w:val="18"/>
              </w:rPr>
            </w:pPr>
            <w:r w:rsidRPr="009F0A98">
              <w:rPr>
                <w:rFonts w:ascii="ＭＳ Ｐゴシック" w:eastAsia="ＭＳ Ｐゴシック" w:hAnsi="ＭＳ Ｐゴシック" w:hint="eastAsia"/>
                <w:sz w:val="20"/>
                <w:szCs w:val="18"/>
              </w:rPr>
              <w:t>認定臨床研究審査委員会の名称（認定番号）</w:t>
            </w:r>
          </w:p>
          <w:p w14:paraId="4FEE2F5A"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r w:rsidRPr="009F0A98">
              <w:rPr>
                <w:rFonts w:ascii="ＭＳ Ｐゴシック" w:eastAsia="ＭＳ Ｐゴシック" w:hAnsi="ＭＳ Ｐゴシック" w:hint="eastAsia"/>
                <w:color w:val="FF0000"/>
                <w:sz w:val="20"/>
                <w:szCs w:val="18"/>
              </w:rPr>
              <w:t>（臨床研究法に従う試験のみ）</w:t>
            </w:r>
          </w:p>
        </w:tc>
        <w:tc>
          <w:tcPr>
            <w:tcW w:w="5244" w:type="dxa"/>
            <w:shd w:val="clear" w:color="auto" w:fill="FFFFFF" w:themeFill="background1"/>
          </w:tcPr>
          <w:p w14:paraId="7F9B62DD" w14:textId="77777777" w:rsidR="00DB0278" w:rsidRPr="009F0A98" w:rsidRDefault="00DB0278" w:rsidP="00360642">
            <w:pPr>
              <w:autoSpaceDE w:val="0"/>
              <w:autoSpaceDN w:val="0"/>
              <w:adjustRightInd w:val="0"/>
              <w:rPr>
                <w:rFonts w:ascii="ＭＳ Ｐゴシック" w:eastAsia="ＭＳ Ｐゴシック" w:hAnsi="ＭＳ Ｐゴシック"/>
                <w:color w:val="000000" w:themeColor="text1"/>
                <w:sz w:val="20"/>
                <w:szCs w:val="18"/>
              </w:rPr>
            </w:pPr>
          </w:p>
        </w:tc>
      </w:tr>
    </w:tbl>
    <w:p w14:paraId="5AF33678" w14:textId="77777777" w:rsidR="006C0AE7" w:rsidRDefault="006C0AE7">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8037"/>
      </w:tblGrid>
      <w:tr w:rsidR="006C0AE7" w14:paraId="0060946A" w14:textId="77777777" w:rsidTr="00360642">
        <w:tc>
          <w:tcPr>
            <w:tcW w:w="1030" w:type="dxa"/>
            <w:shd w:val="clear" w:color="auto" w:fill="DAEEF3" w:themeFill="accent5" w:themeFillTint="33"/>
            <w:vAlign w:val="center"/>
          </w:tcPr>
          <w:p w14:paraId="3F7D6DAA" w14:textId="77777777" w:rsidR="006C0AE7" w:rsidRDefault="00012C2D" w:rsidP="00360642">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試験概要</w:t>
            </w:r>
          </w:p>
        </w:tc>
        <w:tc>
          <w:tcPr>
            <w:tcW w:w="8037" w:type="dxa"/>
            <w:shd w:val="clear" w:color="auto" w:fill="FFFFFF" w:themeFill="background1"/>
          </w:tcPr>
          <w:p w14:paraId="49E4E4F4" w14:textId="29FF109F" w:rsidR="00DB0278" w:rsidRPr="006E23FA" w:rsidRDefault="00012C2D" w:rsidP="00360642">
            <w:pPr>
              <w:pStyle w:val="afd"/>
              <w:ind w:left="0"/>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（解説）</w:t>
            </w:r>
            <w:r w:rsidR="00DB0278" w:rsidRPr="006E23FA">
              <w:rPr>
                <w:rFonts w:ascii="ＭＳ Ｐゴシック" w:eastAsia="ＭＳ Ｐゴシック" w:hAnsi="ＭＳ Ｐゴシック" w:hint="eastAsia"/>
                <w:color w:val="FF0000"/>
                <w:sz w:val="18"/>
              </w:rPr>
              <w:t>プロトコール</w:t>
            </w:r>
            <w:r w:rsidR="00DB0278" w:rsidRPr="006E23FA">
              <w:rPr>
                <w:rFonts w:ascii="ＭＳ Ｐゴシック" w:eastAsia="ＭＳ Ｐゴシック" w:hAnsi="ＭＳ Ｐゴシック"/>
                <w:color w:val="FF0000"/>
                <w:sz w:val="18"/>
              </w:rPr>
              <w:t>0章をコピーする</w:t>
            </w:r>
          </w:p>
          <w:p w14:paraId="6D304871" w14:textId="77777777" w:rsidR="006C0AE7" w:rsidRDefault="00012C2D" w:rsidP="00360642">
            <w:pPr>
              <w:pStyle w:val="afd"/>
              <w:ind w:left="0"/>
              <w:rPr>
                <w:rFonts w:ascii="ＭＳ Ｐゴシック" w:eastAsia="ＭＳ Ｐゴシック" w:hAnsi="ＭＳ Ｐゴシック"/>
                <w:color w:val="0000FF"/>
                <w:sz w:val="18"/>
              </w:rPr>
            </w:pPr>
            <w:r>
              <w:rPr>
                <w:rFonts w:ascii="ＭＳ Ｐゴシック" w:eastAsia="ＭＳ Ｐゴシック" w:hAnsi="ＭＳ Ｐゴシック" w:hint="eastAsia"/>
                <w:sz w:val="18"/>
              </w:rPr>
              <w:t>目的</w:t>
            </w:r>
          </w:p>
          <w:p w14:paraId="70581527" w14:textId="1BDCB3B6" w:rsidR="006C0AE7" w:rsidRDefault="00012C2D" w:rsidP="00360642">
            <w:pPr>
              <w:autoSpaceDE w:val="0"/>
              <w:autoSpaceDN w:val="0"/>
              <w:adjustRightInd w:val="0"/>
              <w:ind w:leftChars="100" w:left="191"/>
              <w:rPr>
                <w:rFonts w:ascii="ＭＳ Ｐゴシック" w:eastAsia="ＭＳ Ｐゴシック" w:hAnsi="ＭＳ Ｐゴシック"/>
                <w:color w:val="0000FF"/>
                <w:sz w:val="18"/>
              </w:rPr>
            </w:pPr>
            <w:r>
              <w:rPr>
                <w:rFonts w:ascii="ＭＳ Ｐゴシック" w:eastAsia="ＭＳ Ｐゴシック" w:hAnsi="ＭＳ Ｐゴシック" w:hint="eastAsia"/>
                <w:color w:val="0000FF"/>
                <w:sz w:val="18"/>
              </w:rPr>
              <w:t>術前治療なしでは根治切除が困難か、根治的切除が行えても予後がきわめて不良な高度リンパ節転移を有する胃癌に対する、イリノテカン</w:t>
            </w:r>
            <w:r w:rsidR="00DB0278">
              <w:rPr>
                <w:rFonts w:ascii="ＭＳ Ｐゴシック" w:eastAsia="ＭＳ Ｐゴシック" w:hAnsi="ＭＳ Ｐゴシック" w:hint="eastAsia"/>
                <w:color w:val="0000FF"/>
                <w:sz w:val="18"/>
              </w:rPr>
              <w:t>（</w:t>
            </w:r>
            <w:r>
              <w:rPr>
                <w:rFonts w:ascii="ＭＳ Ｐゴシック" w:eastAsia="ＭＳ Ｐゴシック" w:hAnsi="ＭＳ Ｐゴシック" w:hint="eastAsia"/>
                <w:color w:val="0000FF"/>
                <w:sz w:val="18"/>
              </w:rPr>
              <w:t>CPT-11</w:t>
            </w:r>
            <w:r w:rsidR="00DB0278">
              <w:rPr>
                <w:rFonts w:ascii="ＭＳ Ｐゴシック" w:eastAsia="ＭＳ Ｐゴシック" w:hAnsi="ＭＳ Ｐゴシック" w:hint="eastAsia"/>
                <w:color w:val="0000FF"/>
                <w:sz w:val="18"/>
              </w:rPr>
              <w:t>）</w:t>
            </w:r>
            <w:r>
              <w:rPr>
                <w:rFonts w:ascii="ＭＳ Ｐゴシック" w:eastAsia="ＭＳ Ｐゴシック" w:hAnsi="ＭＳ Ｐゴシック" w:hint="eastAsia"/>
                <w:color w:val="0000FF"/>
                <w:sz w:val="18"/>
              </w:rPr>
              <w:t>・シスプラチン（CDDP）併用術前化学療法の有効性と安全性を評価する。</w:t>
            </w:r>
          </w:p>
          <w:p w14:paraId="7E306DFA" w14:textId="77777777" w:rsidR="006C0AE7" w:rsidRDefault="00012C2D" w:rsidP="00360642">
            <w:pPr>
              <w:rPr>
                <w:rFonts w:ascii="ＭＳ Ｐゴシック" w:eastAsia="ＭＳ Ｐゴシック" w:hAnsi="ＭＳ Ｐゴシック"/>
                <w:sz w:val="18"/>
              </w:rPr>
            </w:pPr>
            <w:r>
              <w:rPr>
                <w:rFonts w:ascii="ＭＳ Ｐゴシック" w:eastAsia="ＭＳ Ｐゴシック" w:hAnsi="ＭＳ Ｐゴシック" w:hint="eastAsia"/>
                <w:sz w:val="18"/>
              </w:rPr>
              <w:t>対象</w:t>
            </w:r>
          </w:p>
          <w:p w14:paraId="22F816EB" w14:textId="77777777" w:rsidR="006C0AE7" w:rsidRDefault="00012C2D" w:rsidP="00360642">
            <w:pPr>
              <w:ind w:leftChars="110" w:left="210"/>
              <w:rPr>
                <w:rFonts w:ascii="ＭＳ Ｐゴシック" w:eastAsia="ＭＳ Ｐゴシック" w:hAnsi="ＭＳ Ｐゴシック"/>
                <w:sz w:val="18"/>
              </w:rPr>
            </w:pPr>
            <w:r>
              <w:rPr>
                <w:rFonts w:ascii="ＭＳ Ｐゴシック" w:eastAsia="ＭＳ Ｐゴシック" w:hAnsi="ＭＳ Ｐゴシック" w:hint="eastAsia"/>
                <w:color w:val="0000FF"/>
                <w:sz w:val="18"/>
              </w:rPr>
              <w:t>術前CTにて、大動脈周囲リンパ節転移か、腹腔動脈周囲に転移リンパ節塊を認める胃癌。腹膜播種を含め他の遠隔転移がない。年齢70歳以下。PS0-1。</w:t>
            </w:r>
          </w:p>
          <w:p w14:paraId="2293FC08" w14:textId="77777777" w:rsidR="006C0AE7" w:rsidRDefault="00012C2D" w:rsidP="00360642">
            <w:pPr>
              <w:rPr>
                <w:rFonts w:ascii="ＭＳ Ｐゴシック" w:eastAsia="ＭＳ Ｐゴシック" w:hAnsi="ＭＳ Ｐゴシック"/>
                <w:sz w:val="18"/>
              </w:rPr>
            </w:pPr>
            <w:r>
              <w:rPr>
                <w:rFonts w:ascii="ＭＳ Ｐゴシック" w:eastAsia="ＭＳ Ｐゴシック" w:hAnsi="ＭＳ Ｐゴシック" w:hint="eastAsia"/>
                <w:sz w:val="18"/>
              </w:rPr>
              <w:t>治療</w:t>
            </w:r>
          </w:p>
          <w:p w14:paraId="22387D66" w14:textId="77777777" w:rsidR="006C0AE7" w:rsidRDefault="00012C2D" w:rsidP="00360642">
            <w:pPr>
              <w:ind w:leftChars="110" w:left="210"/>
              <w:rPr>
                <w:rFonts w:ascii="ＭＳ Ｐゴシック" w:eastAsia="ＭＳ Ｐゴシック" w:hAnsi="ＭＳ Ｐゴシック"/>
                <w:sz w:val="18"/>
              </w:rPr>
            </w:pPr>
            <w:r>
              <w:rPr>
                <w:rFonts w:ascii="ＭＳ Ｐゴシック" w:eastAsia="ＭＳ Ｐゴシック" w:hAnsi="ＭＳ Ｐゴシック" w:hint="eastAsia"/>
                <w:color w:val="0000FF"/>
                <w:sz w:val="18"/>
              </w:rPr>
              <w:t>術前にCDDP＋CPT-11による化学療法を2コース（ないし3コース）施行し、その後D2郭清に大動脈周囲郭清を加えた拡大根治手術を行う。</w:t>
            </w:r>
          </w:p>
          <w:p w14:paraId="6C2F7843" w14:textId="77777777" w:rsidR="006C0AE7" w:rsidRDefault="00012C2D" w:rsidP="00360642">
            <w:pPr>
              <w:rPr>
                <w:rFonts w:ascii="ＭＳ Ｐゴシック" w:eastAsia="ＭＳ Ｐゴシック" w:hAnsi="ＭＳ Ｐゴシック"/>
                <w:sz w:val="18"/>
              </w:rPr>
            </w:pPr>
            <w:r>
              <w:rPr>
                <w:rFonts w:ascii="ＭＳ Ｐゴシック" w:eastAsia="ＭＳ Ｐゴシック" w:hAnsi="ＭＳ Ｐゴシック"/>
                <w:sz w:val="18"/>
              </w:rPr>
              <w:t>エンドポイント</w:t>
            </w:r>
          </w:p>
          <w:p w14:paraId="742583BE" w14:textId="77777777" w:rsidR="006C0AE7" w:rsidRDefault="00012C2D" w:rsidP="00360642">
            <w:pPr>
              <w:ind w:leftChars="100" w:left="19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primary endpoint： </w:t>
            </w:r>
            <w:r>
              <w:rPr>
                <w:rFonts w:ascii="ＭＳ Ｐゴシック" w:eastAsia="ＭＳ Ｐゴシック" w:hAnsi="ＭＳ Ｐゴシック" w:hint="eastAsia"/>
                <w:color w:val="0000FF"/>
                <w:sz w:val="18"/>
              </w:rPr>
              <w:t>3年生存割合、治療関連死割合</w:t>
            </w:r>
          </w:p>
          <w:p w14:paraId="5E3C1552" w14:textId="77777777" w:rsidR="006C0AE7" w:rsidRDefault="00012C2D" w:rsidP="00360642">
            <w:pPr>
              <w:ind w:leftChars="100" w:left="191"/>
              <w:rPr>
                <w:rFonts w:ascii="ＭＳ Ｐゴシック" w:eastAsia="ＭＳ Ｐゴシック" w:hAnsi="ＭＳ Ｐゴシック"/>
                <w:color w:val="0000FF"/>
                <w:sz w:val="18"/>
              </w:rPr>
            </w:pPr>
            <w:r>
              <w:rPr>
                <w:rFonts w:ascii="ＭＳ Ｐゴシック" w:eastAsia="ＭＳ Ｐゴシック" w:hAnsi="ＭＳ Ｐゴシック" w:hint="eastAsia"/>
                <w:sz w:val="18"/>
              </w:rPr>
              <w:t>secondary endpoints：</w:t>
            </w:r>
            <w:r>
              <w:rPr>
                <w:rFonts w:ascii="ＭＳ Ｐゴシック" w:eastAsia="ＭＳ Ｐゴシック" w:hAnsi="ＭＳ Ｐゴシック" w:hint="eastAsia"/>
                <w:color w:val="0000FF"/>
                <w:sz w:val="18"/>
              </w:rPr>
              <w:t>根治切除割合、奏効割合、術後合併症、術後在院日数、有害事象発現割合、5年生存割合</w:t>
            </w:r>
          </w:p>
          <w:p w14:paraId="420ACA06" w14:textId="77777777" w:rsidR="006C0AE7" w:rsidRDefault="00012C2D" w:rsidP="00360642">
            <w:pPr>
              <w:rPr>
                <w:rFonts w:ascii="ＭＳ Ｐゴシック" w:eastAsia="ＭＳ Ｐゴシック" w:hAnsi="ＭＳ Ｐゴシック"/>
                <w:sz w:val="18"/>
              </w:rPr>
            </w:pPr>
            <w:r>
              <w:rPr>
                <w:rFonts w:ascii="ＭＳ Ｐゴシック" w:eastAsia="ＭＳ Ｐゴシック" w:hAnsi="ＭＳ Ｐゴシック"/>
                <w:sz w:val="18"/>
              </w:rPr>
              <w:t>登録数・研究期間</w:t>
            </w:r>
          </w:p>
          <w:p w14:paraId="32F51CDA" w14:textId="77777777" w:rsidR="006C0AE7" w:rsidRDefault="00012C2D" w:rsidP="00360642">
            <w:pPr>
              <w:ind w:leftChars="100" w:left="19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FF"/>
                <w:sz w:val="18"/>
              </w:rPr>
              <w:t>予定登録数：60人、予定登録期間：3年、追跡期間：登録終了後5年</w:t>
            </w:r>
          </w:p>
        </w:tc>
      </w:tr>
    </w:tbl>
    <w:p w14:paraId="142A6959" w14:textId="64D11C17" w:rsidR="009E3A24" w:rsidRDefault="009E3A24">
      <w:pPr>
        <w:rPr>
          <w:rFonts w:asciiTheme="majorEastAsia" w:eastAsiaTheme="majorEastAsia" w:hAnsiTheme="majorEastAsia"/>
        </w:rPr>
      </w:pPr>
    </w:p>
    <w:p w14:paraId="452F88FA" w14:textId="77777777" w:rsidR="009E3A24" w:rsidRDefault="009E3A24">
      <w:pPr>
        <w:widowControl/>
        <w:jc w:val="left"/>
        <w:rPr>
          <w:rFonts w:asciiTheme="majorEastAsia" w:eastAsiaTheme="majorEastAsia" w:hAnsiTheme="majorEastAsia"/>
        </w:rPr>
      </w:pPr>
      <w:r>
        <w:rPr>
          <w:rFonts w:asciiTheme="majorEastAsia" w:eastAsiaTheme="majorEastAsia" w:hAnsiTheme="majorEastAsia"/>
        </w:rPr>
        <w:br w:type="page"/>
      </w:r>
    </w:p>
    <w:p w14:paraId="3DD30E1C" w14:textId="77777777" w:rsidR="006C0AE7" w:rsidRPr="009E3A24" w:rsidRDefault="006C0AE7">
      <w:pPr>
        <w:rPr>
          <w:rFonts w:asciiTheme="majorEastAsia" w:eastAsiaTheme="majorEastAsia" w:hAnsiTheme="majorEastAsia"/>
        </w:rPr>
      </w:pPr>
    </w:p>
    <w:p w14:paraId="3A182FB6" w14:textId="7CE6FC8B" w:rsidR="006C0AE7" w:rsidRDefault="00012C2D">
      <w:pPr>
        <w:pStyle w:val="1"/>
        <w:rPr>
          <w:rFonts w:asciiTheme="majorHAnsi" w:hAnsiTheme="majorHAnsi" w:cstheme="majorHAnsi"/>
        </w:rPr>
      </w:pPr>
      <w:r>
        <w:rPr>
          <w:rFonts w:asciiTheme="majorHAnsi" w:hAnsiTheme="majorHAnsi" w:cstheme="majorHAnsi"/>
        </w:rPr>
        <w:t>2</w:t>
      </w:r>
      <w:r w:rsidR="00DB0278">
        <w:rPr>
          <w:rFonts w:asciiTheme="majorHAnsi" w:hAnsiTheme="majorHAnsi" w:cstheme="majorHAnsi"/>
        </w:rPr>
        <w:t xml:space="preserve">. </w:t>
      </w:r>
      <w:r>
        <w:rPr>
          <w:rFonts w:asciiTheme="majorHAnsi" w:hAnsiTheme="majorHAnsi" w:cstheme="majorHAnsi"/>
        </w:rPr>
        <w:t>臨床研究結果の要約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B0278" w:rsidRPr="00DB0278" w14:paraId="35CC948D" w14:textId="77777777" w:rsidTr="00360642">
        <w:trPr>
          <w:trHeight w:val="2117"/>
        </w:trPr>
        <w:tc>
          <w:tcPr>
            <w:tcW w:w="2306" w:type="dxa"/>
            <w:tcBorders>
              <w:top w:val="single" w:sz="4" w:space="0" w:color="auto"/>
              <w:bottom w:val="dashSmallGap" w:sz="4" w:space="0" w:color="auto"/>
            </w:tcBorders>
          </w:tcPr>
          <w:p w14:paraId="739B9242" w14:textId="77777777" w:rsidR="00DB0278"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hint="eastAsia"/>
                <w:color w:val="000000" w:themeColor="text1"/>
                <w:sz w:val="20"/>
                <w:szCs w:val="20"/>
              </w:rPr>
              <w:t>主要評価項目及び副次評価項目のデータ解析及び結果</w:t>
            </w:r>
          </w:p>
          <w:p w14:paraId="4CEB19B0" w14:textId="2C09BCD2" w:rsidR="008146CE" w:rsidRPr="006E23FA" w:rsidRDefault="008146CE" w:rsidP="00360642">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日本語全角、英語半角8000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7245464F" w14:textId="7FF16A7D" w:rsidR="00DB0278" w:rsidRPr="006E23FA" w:rsidRDefault="00012C2D" w:rsidP="00360642">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00DB0278" w:rsidRPr="006E23FA">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r>
              <w:rPr>
                <w:rFonts w:ascii="ＭＳ Ｐゴシック" w:eastAsia="ＭＳ Ｐゴシック" w:hAnsi="ＭＳ Ｐゴシック" w:hint="eastAsia"/>
                <w:color w:val="FF0000"/>
                <w:sz w:val="20"/>
                <w:szCs w:val="20"/>
              </w:rPr>
              <w:t>。</w:t>
            </w:r>
          </w:p>
          <w:p w14:paraId="66A72894" w14:textId="1931E620" w:rsidR="00DB0278" w:rsidRPr="006E23FA"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hint="eastAsia"/>
                <w:color w:val="0000FF"/>
                <w:sz w:val="20"/>
                <w:szCs w:val="20"/>
              </w:rPr>
              <w:t>本試験では、有効性の</w:t>
            </w:r>
            <w:r w:rsidRPr="006E23FA">
              <w:rPr>
                <w:rFonts w:ascii="ＭＳ Ｐゴシック" w:eastAsia="ＭＳ Ｐゴシック" w:hAnsi="ＭＳ Ｐゴシック"/>
                <w:color w:val="0000FF"/>
                <w:sz w:val="20"/>
                <w:szCs w:val="20"/>
              </w:rPr>
              <w:t>primary endpointとして3年生存割合を設定し、95%信頼区間の下限が手術単独療法の3年生存割合10%に5%を加えた15%を上回るかどうかを検証した。結果として、3年生存割合は27.0%</w:t>
            </w:r>
            <w:r>
              <w:rPr>
                <w:rFonts w:ascii="ＭＳ Ｐゴシック" w:eastAsia="ＭＳ Ｐゴシック" w:hAnsi="ＭＳ Ｐゴシック"/>
                <w:color w:val="0000FF"/>
                <w:sz w:val="20"/>
                <w:szCs w:val="20"/>
              </w:rPr>
              <w:t>（</w:t>
            </w:r>
            <w:r w:rsidRPr="006E23FA">
              <w:rPr>
                <w:rFonts w:ascii="ＭＳ Ｐゴシック" w:eastAsia="ＭＳ Ｐゴシック" w:hAnsi="ＭＳ Ｐゴシック"/>
                <w:color w:val="0000FF"/>
                <w:sz w:val="20"/>
                <w:szCs w:val="20"/>
              </w:rPr>
              <w:t>95%CI: 15.2-38.8%</w:t>
            </w:r>
            <w:r>
              <w:rPr>
                <w:rFonts w:ascii="ＭＳ Ｐゴシック" w:eastAsia="ＭＳ Ｐゴシック" w:hAnsi="ＭＳ Ｐゴシック"/>
                <w:color w:val="0000FF"/>
                <w:sz w:val="20"/>
                <w:szCs w:val="20"/>
              </w:rPr>
              <w:t>）</w:t>
            </w:r>
            <w:r w:rsidRPr="006E23FA">
              <w:rPr>
                <w:rFonts w:ascii="ＭＳ Ｐゴシック" w:eastAsia="ＭＳ Ｐゴシック" w:hAnsi="ＭＳ Ｐゴシック" w:hint="eastAsia"/>
                <w:color w:val="0000FF"/>
                <w:sz w:val="20"/>
                <w:szCs w:val="20"/>
              </w:rPr>
              <w:t>であり、信頼区間下限が</w:t>
            </w:r>
            <w:r w:rsidRPr="006E23FA">
              <w:rPr>
                <w:rFonts w:ascii="ＭＳ Ｐゴシック" w:eastAsia="ＭＳ Ｐゴシック" w:hAnsi="ＭＳ Ｐゴシック"/>
                <w:color w:val="0000FF"/>
                <w:sz w:val="20"/>
                <w:szCs w:val="20"/>
              </w:rPr>
              <w:t>15%を越えることが示され、良好な3年生存割合が得られた。</w:t>
            </w:r>
          </w:p>
        </w:tc>
      </w:tr>
      <w:tr w:rsidR="00DB0278" w:rsidRPr="00DB0278" w14:paraId="2DCACF03" w14:textId="77777777" w:rsidTr="00360642">
        <w:trPr>
          <w:trHeight w:val="977"/>
        </w:trPr>
        <w:tc>
          <w:tcPr>
            <w:tcW w:w="2306" w:type="dxa"/>
            <w:tcBorders>
              <w:top w:val="dashSmallGap" w:sz="4" w:space="0" w:color="auto"/>
              <w:bottom w:val="single" w:sz="4" w:space="0" w:color="auto"/>
            </w:tcBorders>
          </w:tcPr>
          <w:p w14:paraId="1E2A1C6C" w14:textId="77777777" w:rsidR="00DB0278"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color w:val="000000" w:themeColor="text1"/>
                <w:sz w:val="20"/>
                <w:szCs w:val="20"/>
              </w:rPr>
              <w:t>Outcome measures</w:t>
            </w:r>
          </w:p>
          <w:p w14:paraId="046BB673" w14:textId="65B76BEE" w:rsidR="008146CE" w:rsidRPr="006E23FA" w:rsidRDefault="008146CE" w:rsidP="005F1B30">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英語半角8000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3343095C" w14:textId="77777777" w:rsidR="00DB0278" w:rsidRPr="006E23FA" w:rsidRDefault="00DB0278" w:rsidP="00360642">
            <w:pPr>
              <w:autoSpaceDE w:val="0"/>
              <w:autoSpaceDN w:val="0"/>
              <w:adjustRightInd w:val="0"/>
              <w:rPr>
                <w:rFonts w:ascii="ＭＳ Ｐゴシック" w:eastAsia="ＭＳ Ｐゴシック" w:hAnsi="ＭＳ Ｐゴシック"/>
                <w:color w:val="000000" w:themeColor="text1"/>
                <w:sz w:val="20"/>
                <w:szCs w:val="20"/>
              </w:rPr>
            </w:pPr>
          </w:p>
        </w:tc>
      </w:tr>
      <w:tr w:rsidR="00DB0278" w:rsidRPr="00DB0278" w14:paraId="5E935F0B" w14:textId="77777777" w:rsidTr="00360642">
        <w:trPr>
          <w:trHeight w:val="1558"/>
        </w:trPr>
        <w:tc>
          <w:tcPr>
            <w:tcW w:w="2306" w:type="dxa"/>
            <w:tcBorders>
              <w:top w:val="single" w:sz="4" w:space="0" w:color="auto"/>
              <w:bottom w:val="dashSmallGap" w:sz="4" w:space="0" w:color="auto"/>
            </w:tcBorders>
          </w:tcPr>
          <w:p w14:paraId="1BB526CD" w14:textId="77777777" w:rsidR="00DB0278"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hint="eastAsia"/>
                <w:color w:val="000000" w:themeColor="text1"/>
                <w:sz w:val="20"/>
                <w:szCs w:val="20"/>
              </w:rPr>
              <w:t>簡潔な要約</w:t>
            </w:r>
          </w:p>
          <w:p w14:paraId="58746F98" w14:textId="4E493080" w:rsidR="008146CE" w:rsidRPr="006E23FA" w:rsidRDefault="008146CE" w:rsidP="00A90E0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00A90E0D">
              <w:rPr>
                <w:rFonts w:ascii="ＭＳ Ｐゴシック" w:eastAsia="ＭＳ Ｐゴシック" w:hAnsi="ＭＳ Ｐゴシック" w:hint="eastAsia"/>
                <w:color w:val="FF0000"/>
                <w:sz w:val="20"/>
                <w:szCs w:val="20"/>
              </w:rPr>
              <w:t>400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46D1A013" w14:textId="77777777" w:rsidR="008506D2" w:rsidRDefault="00012C2D" w:rsidP="00360642">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00DB0278" w:rsidRPr="006E23FA">
              <w:rPr>
                <w:rFonts w:ascii="ＭＳ Ｐゴシック" w:eastAsia="ＭＳ Ｐゴシック" w:hAnsi="ＭＳ Ｐゴシック"/>
                <w:color w:val="FF0000"/>
                <w:sz w:val="20"/>
                <w:szCs w:val="20"/>
              </w:rPr>
              <w:t>試験の結語（論文のconclusion）に該当する内容を記載する</w:t>
            </w:r>
          </w:p>
          <w:p w14:paraId="05E9FB54" w14:textId="5C1FB0E1" w:rsidR="00DB0278" w:rsidRPr="006E23FA" w:rsidRDefault="008506D2" w:rsidP="00360642">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8506D2">
              <w:rPr>
                <w:rFonts w:ascii="ＭＳ Ｐゴシック" w:eastAsia="ＭＳ Ｐゴシック" w:hAnsi="ＭＳ Ｐゴシック" w:hint="eastAsia"/>
                <w:color w:val="FF0000"/>
                <w:sz w:val="20"/>
                <w:szCs w:val="20"/>
              </w:rPr>
              <w:t>jRCT上の「主たる評価項目に係る研究成果」に公表される</w:t>
            </w:r>
          </w:p>
          <w:p w14:paraId="7C5B8893" w14:textId="77777777" w:rsidR="00DB0278" w:rsidRPr="006E23FA"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hint="eastAsia"/>
                <w:color w:val="0000FF"/>
                <w:sz w:val="20"/>
                <w:szCs w:val="20"/>
              </w:rPr>
              <w:t>高度リンパ節転移を伴う進行胃癌に対し、術前化学療法として</w:t>
            </w:r>
            <w:r w:rsidRPr="006E23FA">
              <w:rPr>
                <w:rFonts w:ascii="ＭＳ Ｐゴシック" w:eastAsia="ＭＳ Ｐゴシック" w:hAnsi="ＭＳ Ｐゴシック"/>
                <w:color w:val="0000FF"/>
                <w:sz w:val="20"/>
                <w:szCs w:val="20"/>
              </w:rPr>
              <w:t>CPT-11+CDDPを2コース施行後にD3郭清術を行う本試験治療は、有効ではあるが安全な治療とは言い難い。</w:t>
            </w:r>
          </w:p>
        </w:tc>
      </w:tr>
      <w:tr w:rsidR="00DB0278" w:rsidRPr="00DB0278" w14:paraId="22AC1899" w14:textId="77777777" w:rsidTr="00360642">
        <w:trPr>
          <w:trHeight w:val="1113"/>
        </w:trPr>
        <w:tc>
          <w:tcPr>
            <w:tcW w:w="2306" w:type="dxa"/>
            <w:tcBorders>
              <w:top w:val="dashSmallGap" w:sz="4" w:space="0" w:color="auto"/>
              <w:bottom w:val="single" w:sz="4" w:space="0" w:color="auto"/>
            </w:tcBorders>
          </w:tcPr>
          <w:p w14:paraId="37C04FDE" w14:textId="77777777" w:rsidR="00DB0278" w:rsidRDefault="00DB0278" w:rsidP="00360642">
            <w:pPr>
              <w:autoSpaceDE w:val="0"/>
              <w:autoSpaceDN w:val="0"/>
              <w:adjustRightInd w:val="0"/>
              <w:rPr>
                <w:rFonts w:ascii="ＭＳ Ｐゴシック" w:eastAsia="ＭＳ Ｐゴシック" w:hAnsi="ＭＳ Ｐゴシック"/>
                <w:color w:val="000000" w:themeColor="text1"/>
                <w:sz w:val="20"/>
                <w:szCs w:val="20"/>
              </w:rPr>
            </w:pPr>
            <w:r w:rsidRPr="006E23FA">
              <w:rPr>
                <w:rFonts w:ascii="ＭＳ Ｐゴシック" w:eastAsia="ＭＳ Ｐゴシック" w:hAnsi="ＭＳ Ｐゴシック"/>
                <w:color w:val="000000" w:themeColor="text1"/>
                <w:sz w:val="20"/>
                <w:szCs w:val="20"/>
              </w:rPr>
              <w:t>Brief summary</w:t>
            </w:r>
          </w:p>
          <w:p w14:paraId="56B21BB6" w14:textId="0A7109A3" w:rsidR="008146CE" w:rsidRPr="006E23FA" w:rsidRDefault="008146CE" w:rsidP="00A90E0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005F1B30">
              <w:rPr>
                <w:rFonts w:ascii="ＭＳ Ｐゴシック" w:eastAsia="ＭＳ Ｐゴシック" w:hAnsi="ＭＳ Ｐゴシック" w:hint="eastAsia"/>
                <w:color w:val="FF0000"/>
                <w:sz w:val="20"/>
                <w:szCs w:val="20"/>
              </w:rPr>
              <w:t>400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09DDF27B" w14:textId="77777777" w:rsidR="00DB0278" w:rsidRPr="006E23FA" w:rsidRDefault="00DB0278" w:rsidP="00360642">
            <w:pPr>
              <w:autoSpaceDE w:val="0"/>
              <w:autoSpaceDN w:val="0"/>
              <w:adjustRightInd w:val="0"/>
              <w:rPr>
                <w:rFonts w:ascii="ＭＳ Ｐゴシック" w:eastAsia="ＭＳ Ｐゴシック" w:hAnsi="ＭＳ Ｐゴシック"/>
                <w:color w:val="000000" w:themeColor="text1"/>
                <w:sz w:val="20"/>
                <w:szCs w:val="20"/>
              </w:rPr>
            </w:pPr>
          </w:p>
        </w:tc>
      </w:tr>
    </w:tbl>
    <w:p w14:paraId="23B818DA" w14:textId="77777777" w:rsidR="006C0AE7" w:rsidRDefault="006C0AE7" w:rsidP="006E23FA">
      <w:pPr>
        <w:autoSpaceDE w:val="0"/>
        <w:autoSpaceDN w:val="0"/>
        <w:adjustRightInd w:val="0"/>
        <w:ind w:rightChars="-62" w:right="-119"/>
        <w:rPr>
          <w:rFonts w:asciiTheme="majorEastAsia" w:eastAsiaTheme="majorEastAsia" w:hAnsiTheme="majorEastAsia"/>
          <w:sz w:val="18"/>
          <w:szCs w:val="18"/>
        </w:rPr>
      </w:pPr>
    </w:p>
    <w:sectPr w:rsidR="006C0AE7" w:rsidSect="009E3A24">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407C4" w14:textId="77777777" w:rsidR="00ED23AD" w:rsidRDefault="00ED23AD">
      <w:r>
        <w:separator/>
      </w:r>
    </w:p>
  </w:endnote>
  <w:endnote w:type="continuationSeparator" w:id="0">
    <w:p w14:paraId="456F54B9" w14:textId="77777777" w:rsidR="00ED23AD" w:rsidRDefault="00ED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Ｐゴシック" w:eastAsia="ＭＳ Ｐゴシック" w:hAnsi="ＭＳ Ｐゴシック"/>
      </w:rPr>
      <w:id w:val="-1491478939"/>
      <w:docPartObj>
        <w:docPartGallery w:val="Page Numbers (Bottom of Page)"/>
        <w:docPartUnique/>
      </w:docPartObj>
    </w:sdtPr>
    <w:sdtEndPr/>
    <w:sdtContent>
      <w:p w14:paraId="47136FE4" w14:textId="6EABE56B" w:rsidR="006D1872" w:rsidRPr="006D1872" w:rsidRDefault="006D1872">
        <w:pPr>
          <w:pStyle w:val="a6"/>
          <w:jc w:val="center"/>
          <w:rPr>
            <w:rFonts w:ascii="ＭＳ Ｐゴシック" w:eastAsia="ＭＳ Ｐゴシック" w:hAnsi="ＭＳ Ｐゴシック"/>
          </w:rPr>
        </w:pPr>
        <w:r w:rsidRPr="006D1872">
          <w:rPr>
            <w:rFonts w:ascii="ＭＳ Ｐゴシック" w:eastAsia="ＭＳ Ｐゴシック" w:hAnsi="ＭＳ Ｐゴシック"/>
          </w:rPr>
          <w:fldChar w:fldCharType="begin"/>
        </w:r>
        <w:r w:rsidRPr="006D1872">
          <w:rPr>
            <w:rFonts w:ascii="ＭＳ Ｐゴシック" w:eastAsia="ＭＳ Ｐゴシック" w:hAnsi="ＭＳ Ｐゴシック"/>
          </w:rPr>
          <w:instrText>PAGE   \* MERGEFORMAT</w:instrText>
        </w:r>
        <w:r w:rsidRPr="006D1872">
          <w:rPr>
            <w:rFonts w:ascii="ＭＳ Ｐゴシック" w:eastAsia="ＭＳ Ｐゴシック" w:hAnsi="ＭＳ Ｐゴシック"/>
          </w:rPr>
          <w:fldChar w:fldCharType="separate"/>
        </w:r>
        <w:r w:rsidR="009E3A24" w:rsidRPr="009E3A24">
          <w:rPr>
            <w:rFonts w:ascii="ＭＳ Ｐゴシック" w:eastAsia="ＭＳ Ｐゴシック" w:hAnsi="ＭＳ Ｐゴシック"/>
            <w:noProof/>
            <w:lang w:val="ja-JP"/>
          </w:rPr>
          <w:t>2</w:t>
        </w:r>
        <w:r w:rsidRPr="006D1872">
          <w:rPr>
            <w:rFonts w:ascii="ＭＳ Ｐゴシック" w:eastAsia="ＭＳ Ｐゴシック" w:hAnsi="ＭＳ Ｐゴシック"/>
          </w:rPr>
          <w:fldChar w:fldCharType="end"/>
        </w:r>
      </w:p>
    </w:sdtContent>
  </w:sdt>
  <w:p w14:paraId="70E2EA0C" w14:textId="77777777" w:rsidR="006D1872" w:rsidRDefault="006D1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979355"/>
      <w:docPartObj>
        <w:docPartGallery w:val="Page Numbers (Bottom of Page)"/>
        <w:docPartUnique/>
      </w:docPartObj>
    </w:sdtPr>
    <w:sdtEndPr>
      <w:rPr>
        <w:rFonts w:ascii="Times New Roman" w:eastAsia="ＭＳ Ｐゴシック" w:hAnsi="Times New Roman"/>
        <w:sz w:val="20"/>
      </w:rPr>
    </w:sdtEndPr>
    <w:sdtContent>
      <w:p w14:paraId="5332AB5B" w14:textId="690AC13E" w:rsidR="006D1872" w:rsidRPr="009E3A24" w:rsidRDefault="006D1872">
        <w:pPr>
          <w:pStyle w:val="a6"/>
          <w:jc w:val="center"/>
          <w:rPr>
            <w:rFonts w:ascii="Times New Roman" w:eastAsia="ＭＳ Ｐゴシック" w:hAnsi="Times New Roman"/>
            <w:sz w:val="20"/>
          </w:rPr>
        </w:pPr>
        <w:r w:rsidRPr="009E3A24">
          <w:rPr>
            <w:rFonts w:ascii="Times New Roman" w:eastAsia="ＭＳ Ｐゴシック" w:hAnsi="Times New Roman"/>
            <w:sz w:val="20"/>
          </w:rPr>
          <w:fldChar w:fldCharType="begin"/>
        </w:r>
        <w:r w:rsidRPr="009E3A24">
          <w:rPr>
            <w:rFonts w:ascii="Times New Roman" w:eastAsia="ＭＳ Ｐゴシック" w:hAnsi="Times New Roman"/>
            <w:sz w:val="20"/>
          </w:rPr>
          <w:instrText>PAGE   \* MERGEFORMAT</w:instrText>
        </w:r>
        <w:r w:rsidRPr="009E3A24">
          <w:rPr>
            <w:rFonts w:ascii="Times New Roman" w:eastAsia="ＭＳ Ｐゴシック" w:hAnsi="Times New Roman"/>
            <w:sz w:val="20"/>
          </w:rPr>
          <w:fldChar w:fldCharType="separate"/>
        </w:r>
        <w:r w:rsidR="00B65AF1" w:rsidRPr="00B65AF1">
          <w:rPr>
            <w:rFonts w:ascii="Times New Roman" w:eastAsia="ＭＳ Ｐゴシック" w:hAnsi="Times New Roman"/>
            <w:noProof/>
            <w:sz w:val="20"/>
            <w:lang w:val="ja-JP"/>
          </w:rPr>
          <w:t>2</w:t>
        </w:r>
        <w:r w:rsidRPr="009E3A24">
          <w:rPr>
            <w:rFonts w:ascii="Times New Roman" w:eastAsia="ＭＳ Ｐゴシック" w:hAnsi="Times New Roman"/>
            <w:sz w:val="20"/>
          </w:rPr>
          <w:fldChar w:fldCharType="end"/>
        </w:r>
      </w:p>
    </w:sdtContent>
  </w:sdt>
  <w:p w14:paraId="3A29E894" w14:textId="77777777" w:rsidR="00BE1D77" w:rsidRDefault="00BE1D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522E" w14:textId="77777777" w:rsidR="00B65AF1" w:rsidRDefault="00B65A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A751" w14:textId="77777777" w:rsidR="00ED23AD" w:rsidRDefault="00ED23AD">
      <w:r>
        <w:separator/>
      </w:r>
    </w:p>
  </w:footnote>
  <w:footnote w:type="continuationSeparator" w:id="0">
    <w:p w14:paraId="42A24891" w14:textId="77777777" w:rsidR="00ED23AD" w:rsidRDefault="00ED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CFE8" w14:textId="77777777" w:rsidR="00B65AF1" w:rsidRDefault="00B65A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05C0" w14:textId="77777777" w:rsidR="00B65AF1" w:rsidRDefault="00B65A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428C" w14:textId="77777777" w:rsidR="00B65AF1" w:rsidRDefault="00B65A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63960366"/>
    <w:lvl w:ilvl="0" w:tplc="BC92BF66">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6"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3"/>
  </w:num>
  <w:num w:numId="4">
    <w:abstractNumId w:val="14"/>
  </w:num>
  <w:num w:numId="5">
    <w:abstractNumId w:val="5"/>
  </w:num>
  <w:num w:numId="6">
    <w:abstractNumId w:val="10"/>
  </w:num>
  <w:num w:numId="7">
    <w:abstractNumId w:val="15"/>
  </w:num>
  <w:num w:numId="8">
    <w:abstractNumId w:val="7"/>
  </w:num>
  <w:num w:numId="9">
    <w:abstractNumId w:val="16"/>
  </w:num>
  <w:num w:numId="10">
    <w:abstractNumId w:val="11"/>
  </w:num>
  <w:num w:numId="11">
    <w:abstractNumId w:val="8"/>
  </w:num>
  <w:num w:numId="12">
    <w:abstractNumId w:val="0"/>
  </w:num>
  <w:num w:numId="13">
    <w:abstractNumId w:val="1"/>
  </w:num>
  <w:num w:numId="14">
    <w:abstractNumId w:val="6"/>
  </w:num>
  <w:num w:numId="15">
    <w:abstractNumId w:val="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840"/>
  <w:drawingGridHorizontalSpacing w:val="191"/>
  <w:drawingGridVerticalSpacing w:val="143"/>
  <w:displayHorizontalDrawingGridEvery w:val="0"/>
  <w:displayVerticalDrawingGridEvery w:val="2"/>
  <w:characterSpacingControl w:val="compressPunctuation"/>
  <w:hdrShapeDefaults>
    <o:shapedefaults v:ext="edit" spidmax="2457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E7"/>
    <w:rsid w:val="00012C2D"/>
    <w:rsid w:val="000F4196"/>
    <w:rsid w:val="00302B6B"/>
    <w:rsid w:val="00360642"/>
    <w:rsid w:val="003C1362"/>
    <w:rsid w:val="003D142F"/>
    <w:rsid w:val="00404F6B"/>
    <w:rsid w:val="005F1B30"/>
    <w:rsid w:val="006C0AE7"/>
    <w:rsid w:val="006D1872"/>
    <w:rsid w:val="006E23FA"/>
    <w:rsid w:val="00763C28"/>
    <w:rsid w:val="00764781"/>
    <w:rsid w:val="007B00FF"/>
    <w:rsid w:val="008146CE"/>
    <w:rsid w:val="008506D2"/>
    <w:rsid w:val="008D0346"/>
    <w:rsid w:val="008E6502"/>
    <w:rsid w:val="009E3A24"/>
    <w:rsid w:val="009F0A98"/>
    <w:rsid w:val="009F1598"/>
    <w:rsid w:val="00A570A8"/>
    <w:rsid w:val="00A90E0D"/>
    <w:rsid w:val="00AE4148"/>
    <w:rsid w:val="00AE7CC5"/>
    <w:rsid w:val="00B65AF1"/>
    <w:rsid w:val="00BE1D77"/>
    <w:rsid w:val="00C82221"/>
    <w:rsid w:val="00C924D6"/>
    <w:rsid w:val="00DB0278"/>
    <w:rsid w:val="00ED23AD"/>
    <w:rsid w:val="00F8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6D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Bid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Bid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A5FC-F8E6-4B46-BAC0-EF2E3186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2021-09-17T07:00:00Z</dcterms:created>
  <dcterms:modified xsi:type="dcterms:W3CDTF">2021-09-17T07:01:00Z</dcterms:modified>
</cp:coreProperties>
</file>